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25</w:t>
      </w:r>
    </w:p>
    <w:p>
      <w:r>
        <w:t>Bundesgericht (BGE), 2015-01-15, DE</w:t>
      </w:r>
    </w:p>
    <w:p>
      <w:r>
        <w:rPr>
          <w:b/>
        </w:rPr>
        <w:t xml:space="preserve">Quelle: </w:t>
      </w:r>
      <w:r>
        <w:t>https://mcp.opencaselaw.ch/entscheid/bge_141 V 25</w:t>
      </w:r>
    </w:p>
    <w:p>
      <w:r>
        <w:t>FR: ATF 141 V 25</w:t>
      </w:r>
    </w:p>
    <w:p>
      <w:r>
        <w:t>IT: DTF 141 V 25</w:t>
      </w:r>
    </w:p>
    <w:p>
      <w:pPr>
        <w:pStyle w:val="Heading2"/>
      </w:pPr>
      <w:r>
        <w:t>Regeste</w:t>
      </w:r>
    </w:p>
    <w:p>
      <w:r>
        <w:t>Regeste Art. 56 Abs. 2 und Art. 59 Abs. 1 lit. b KVG; Rückerstattung der Honorare bei Überarztung; anwendbares Recht; Voraussetzungen für eine Rückforderung unter der Herrschaft von Art. 59 Abs. 1 lit. b KVG. Auf jene Überarztungsfälle, welche sich nach dem 23. Februar 2005 ereignet haben, gelangt ausschliesslich Art. 59 Abs. 1 lit. b KVG zur Anwendung (E. 8.3). Obschon die Rückerstattung der Honorare (Art. 59 Abs. 1 lit. b KVG) neu unter dem Begriff "Sanktionen" (Art. 59 Abs. 1 Satz 1 KVG) steht, bleibt die zu Art. 56 Abs. 2 KVG ergangene Rechtsprechung anwendbar, wonach (namentlich) kein Verschulden des Leistungserbringers vorausgesetzt wird (E. 8.4).</w:t>
      </w:r>
    </w:p>
    <w:p>
      <w:pPr>
        <w:pStyle w:val="Heading2"/>
      </w:pPr>
      <w:r>
        <w:t>Erwägungen</w:t>
      </w:r>
    </w:p>
    <w:p>
      <w:r>
        <w:rPr>
          <w:b/>
        </w:rPr>
        <w:t>E. 8.1</w:t>
      </w:r>
    </w:p>
    <w:p>
      <w:r>
        <w:t>Die Vorinstanz erachtete Art. 56 Abs. 2 KVG als massgebende gesetzliche Grundlage für die von ihr verfügte Rückforderung betreffend das Jahr 2006, ohne jedoch auf das Verhältnis zu der seit 23. Februar 2005 anwendbaren Bestimmung von Art. 59 Abs. 1 lit. b KVG (nicht publ. E. 5.1) einzugehen. Gemäss dem überwiegenden Teil der Lehre ist - seit Inkrafttreten des geänderten Art. 59 KVG (am 1. Januar 2005) - für Rückerstattungsforderungen wegen unwirtschaftlicher Behandlung nicht mehr Art. 56 Abs. 2 KVG sedes materiae, sondern Art. 59 Abs. 1 lit. b KVG (GEBHARD EUGSTER, Überarztung aus juristischer Sicht [nachfolgend: Überarztung], in: Rechtsfragen zum Krankheitsbegriff, Gächter/Schwendener [Hrsg.], 2009, S. 138 Rz. 120; ders. , Bundesgesetz über die Krankenversicherung [KVG; nachfolgend: Rechtsprechung], 2010, N. 3 zu Art. 59 KVG ; ders. , Statistische Wirtschaftlichkeitsprüfung im Wandel [nachfolgend: Wirtschaftlichkeitsprüfung], Jusletter 25. Juni 2012, Rz. 97; SIMON HAEFELI, Ruinöse Unrechtsprechung, Jusletter 18. August 2008, Rz. 47 [auch veröffentlicht in: Zeitschrift für Gesundheitsrecht (SZG), 2009 S. 55 ff.]; gl.M. offenbar auch Arbeitsgruppe WZW der FMH, Wirtschaftlichkeitsverfahren unter KVG Art. 59 [nachfolgend: Sanktionsrecht], Positionspapier von Juli 2010 [abrufbar unter www.fmh.ch ]; a.M. EDOUARD ISELIN, Polypragmasie et étendue de l'obligation de restitution au sens de l'art. 56 al. 2 LAMal, SZS 2006 S. 120). Das Bundesgericht hat sich zu dieser Frage bisher nicht (explizit) geäussert. Immerhin hat es in BGE 137 V 43 , welchem eine im Jahr 2004 stattgefundene Überarztung zugrunde lag, namentlich die (noch nicht anwendbare) Bestimmung von Art. 59 Abs. 1 lit. b KVG herangezogen, um die BGE 141 V 25 S. 28 Frage des Umfangs (nicht publ. E. 5.4) der Rückerstattungspflicht gemäss Art. 56 Abs. 2 KVG zu präzisieren (E. 2.5.3 des erwähnten Urteils).</w:t>
      </w:r>
    </w:p>
    <w:p>
      <w:r>
        <w:rPr>
          <w:b/>
        </w:rPr>
        <w:t>E. 8.2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140 V 8 E. 2.2.1 S. 11 mit Hinweisen).</w:t>
      </w:r>
    </w:p>
    <w:p>
      <w:r>
        <w:rPr>
          <w:b/>
        </w:rPr>
        <w:t>E. 8.3</w:t>
      </w:r>
    </w:p>
    <w:p>
      <w:r>
        <w:t>Gesetzgeberische Absicht hinter der Änderung des Art. 59 KVG war es, die Zahl und die Tragweite der möglichen Sanktionen gegen Leistungserbringer, die sich nicht an die Regeln der Wirtschaftlichkeit und Qualität der Leistungen halten ("schwarze Schafe"), zu verstärken, mithin das Sanktionensystem des KVG wirkungsvoller auszugestalten (Botschaft vom 26. Mai 2004 zur Änderung des Bundesgesetzes über die Krankenversicherung [Vertragsfreiheit; BBl 2004 4293, 4295, 4315]). Hierzu sollten zum einen - nebst der bisher schon bestehenden Möglichkeit von Rückerstattungen gemäss Art. 56 KVG sowie des Ausschlusses von der Kassenpraxis gemäss aArt. 59 KVG - weitere Sanktionen (Verwarnung, Busse; Art. 59 Abs. 1 lit. a und c KVG ) ausgefällt werden können, womit der Entscheidungsspielraum der zuständigen Schiedsgerichte vergrössert würde. Zum anderen sollte die Möglichkeit, das kantonale Schiedsgericht anzurufen, auf die Verbände der Versicherer ausgeweitet werden ( Art. 59 Abs. 2 KVG ), um die Tragweite der Sanktionen zu vergrössern (BBl 2004 4315 erstes und zweites Lemma). Ferner wurden die gröbsten Verstösse gegen die Wirtschaftlichkeit und die Qualitätssicherung, welche als sanktionswürdig befunden wurden, in einer nicht abschliessenden Liste konkretisiert (Abs. 3). Deren lit. a ("Nichtbeachtung des Wirtschaftlichkeitsgebotes nach Artikel 56 Abs. 1") ersetzte den Begriff der "Überarztung" (BBl 2004 4315 BGE 141 V 25 S. 29 drittes Lemma). Eingedenk der dargelegten gesetzgeberischen Intention und der expliziten Erwähnung der Überarztung in den Materialien ist mit der Lehre davon auszugehen, dass beabsichtigt war, sämtliche "Sanktionen" (vgl. E. 8.4 hiernach) - darunter auch jene der Honorarrückerstattung - gegen fehlbare Leistungserbringer in einer einzigen, wirkungsvoller ausgestalteten (BBl 2004 4295) Norm zu vereinen. Dies spricht gegen die parallele Anwendbarkeit von Art. 56 Abs. 2 und Art. 59 Abs. 1 lit. b KVG bzw. für die ausschliessliche Anwendbarkeit letzterer Bestimmung auf jene Überarztungsfälle, die sich nach dem 23. Februar 2005 ereignet haben (nicht publ. E. 5.1).</w:t>
      </w:r>
    </w:p>
    <w:p>
      <w:r>
        <w:rPr>
          <w:b/>
        </w:rPr>
        <w:t>E. 8.4</w:t>
      </w:r>
    </w:p>
    <w:p>
      <w:r>
        <w:t>Bei der Rückforderung gemäss Art. 56 Abs. 2 KVG ging es nach Lehre und Praxis um die Rückerstattung eines Indebitums (EUGSTER, Wirtschaftlichkeitskontrolle ambulanter ärztlicher Leistungen mit statistischen Methoden [nachfolgend: Wirtschaftlichkeitskontrolle], 2003, S. 288 Rz. 850) bzw. primär um die Wiederherstellung des rechtmässigen Zustandes (EUGSTER, Rechtsprechung, a.a.O., N. 1 zu Art. 59 KVG ). Die Honorarrückerstattung nach unwirtschaftlicher Behandlungsweise wurde weder als Strafe noch als Sanktion qualifiziert, womit kein Verschulden des Arztes vorausgesetzt war (EUGSTER, Wirtschaftlichkeitskontrolle, a.a.O., S. 288 Rz. 851 mit Hinweisen). Die Rückerstattung der Honorare ( Art. 59 Abs. 1 lit. b KVG ) steht neu unter dem Begriff "Sanktionen" ( Art. 59 Abs. 1 Satz 1 KVG ). Angesichts des Gesetzeswortlauts ist EUGSTER (Rechtsprechung, a.a.O., N. 1 zu Art. 59 KVG ; ders. , Die obligatorische Krankenpflegeversicherung, in: Soziale Sicherheit, SBVR Bd. XIV, 2. Aufl. 2007, S. 672 Rz. 819 ff.; offengelassen jedoch ders. , Überarztung, a.a.O., S. 138 Rz. 121) der Ansicht, im Gegensatz zur bisherigen Praxis bedürfe eine Honorarrückerstattung unter der Geltung des revidierten Art. 59 KVG u.a. den Nachweis eines Verschuldens des Leistungserbringers. Die hievor dargelegte Entstehungsgeschichte der Bestimmung steht indes der Annahme klar entgegen, der Gesetzgeber habe restriktivere Voraussetzungen für eine Honorarrückforderung schaffen wollen. Im Gegenteil hebt die Botschaft die Steigerung der Wirksamkeit bzw. die Vermeidung einer relativen Straffreiheit für "schwarze Schafe" als Ziele hervor (BBl 2004 4295, 4315). Zudem wird in der nationalrätlichen Diskussion erwähnt, der vorgeschlagene Art. 59 sei nichts anderes als "une synthèse des dispositions existantes avec quelques détails supplémentaires" (Votum von Nationalrat Yves Guisan in AB 2004 N 1510). Somit erhellt sowohl aus der BGE 141 V 25 S. 30 Botschaft als auch der parlamentarischen Beratung, dass keine grundlegende Änderung bzw. Einschränkung der Rückforderungsmöglichkeit beabsichtigt war, sondern der Gesetzgeber davon ausging, die bisherige Rechtspraxis werde im Wesentlichen weitergeführt. Mithin lässt sich nicht sagen, dass die Bezeichnung "Sanktionen" in Art. 59 Abs. 1 KVG - zumindest was lit. b betrifft - automatisch ein Verschulden mitumfasst. Vielmehr bleibt die zu Art. 56 Abs. 2 KVG ergangene Rechtsprechung auch unter der Herrschaft von Art. 59 Abs. 1 lit. b KVG anwendbar, womit bei der Rückforderung weiterhin kein Verschulden des Leistungserbringers vorausgesetzt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